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EED" w:rsidRDefault="00C42EED" w:rsidP="00C42EED">
      <w:pPr>
        <w:spacing w:after="0" w:line="240" w:lineRule="auto"/>
        <w:jc w:val="center"/>
      </w:pPr>
      <w:r>
        <w:rPr>
          <w:rFonts w:ascii="Times New Roman" w:hAnsi="Times New Roman" w:cs="Times New Roman"/>
          <w:b/>
          <w:noProof/>
          <w:sz w:val="32"/>
          <w:szCs w:val="32"/>
        </w:rPr>
        <w:drawing>
          <wp:inline distT="0" distB="0" distL="0" distR="0">
            <wp:extent cx="6124575" cy="1514475"/>
            <wp:effectExtent l="19050" t="0" r="9525" b="0"/>
            <wp:docPr id="1" name="Immagine 1" descr="logo_nuovo_a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_nuovo_asp"/>
                    <pic:cNvPicPr>
                      <a:picLocks noChangeAspect="1" noChangeArrowheads="1"/>
                    </pic:cNvPicPr>
                  </pic:nvPicPr>
                  <pic:blipFill>
                    <a:blip r:embed="rId5" cstate="print"/>
                    <a:srcRect/>
                    <a:stretch>
                      <a:fillRect/>
                    </a:stretch>
                  </pic:blipFill>
                  <pic:spPr bwMode="auto">
                    <a:xfrm>
                      <a:off x="0" y="0"/>
                      <a:ext cx="6124575" cy="1514475"/>
                    </a:xfrm>
                    <a:prstGeom prst="rect">
                      <a:avLst/>
                    </a:prstGeom>
                    <a:noFill/>
                    <a:ln w="9525">
                      <a:noFill/>
                      <a:miter lim="800000"/>
                      <a:headEnd/>
                      <a:tailEnd/>
                    </a:ln>
                  </pic:spPr>
                </pic:pic>
              </a:graphicData>
            </a:graphic>
          </wp:inline>
        </w:drawing>
      </w:r>
    </w:p>
    <w:p w:rsidR="00A859CA" w:rsidRDefault="00A859CA" w:rsidP="00C42EED">
      <w:pPr>
        <w:rPr>
          <w:rFonts w:ascii="Times New Roman" w:hAnsi="Times New Roman" w:cs="Times New Roman"/>
          <w:color w:val="404040" w:themeColor="text1" w:themeTint="BF"/>
        </w:rPr>
      </w:pPr>
    </w:p>
    <w:p w:rsidR="002D0FC6" w:rsidRDefault="00C42EED" w:rsidP="00A859CA">
      <w:pPr>
        <w:spacing w:after="0" w:line="360" w:lineRule="auto"/>
        <w:rPr>
          <w:rFonts w:ascii="Times New Roman" w:hAnsi="Times New Roman" w:cs="Times New Roman"/>
          <w:sz w:val="24"/>
          <w:szCs w:val="24"/>
          <w:u w:val="single"/>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2D0FC6" w:rsidRPr="001D1BDA" w:rsidRDefault="003F1BDB" w:rsidP="003F1BDB">
      <w:pPr>
        <w:spacing w:after="0" w:line="360" w:lineRule="auto"/>
        <w:jc w:val="center"/>
        <w:rPr>
          <w:rFonts w:ascii="Times New Roman" w:hAnsi="Times New Roman" w:cs="Times New Roman"/>
          <w:b/>
          <w:sz w:val="28"/>
          <w:szCs w:val="28"/>
        </w:rPr>
      </w:pPr>
      <w:r w:rsidRPr="001D1BDA">
        <w:rPr>
          <w:rFonts w:ascii="Times New Roman" w:hAnsi="Times New Roman" w:cs="Times New Roman"/>
          <w:b/>
          <w:sz w:val="28"/>
          <w:szCs w:val="28"/>
        </w:rPr>
        <w:t>CAPITOLATO TECNICO</w:t>
      </w:r>
    </w:p>
    <w:p w:rsidR="003F1BDB" w:rsidRDefault="003F1BDB" w:rsidP="003F1BDB">
      <w:pPr>
        <w:spacing w:after="0" w:line="360" w:lineRule="auto"/>
        <w:jc w:val="both"/>
        <w:rPr>
          <w:rFonts w:ascii="Times New Roman" w:hAnsi="Times New Roman" w:cs="Times New Roman"/>
          <w:sz w:val="24"/>
          <w:szCs w:val="24"/>
        </w:rPr>
      </w:pPr>
    </w:p>
    <w:p w:rsidR="003F1BDB" w:rsidRPr="003F1BDB" w:rsidRDefault="003F1BDB" w:rsidP="009C4426">
      <w:pPr>
        <w:spacing w:after="0"/>
        <w:jc w:val="both"/>
        <w:rPr>
          <w:rFonts w:ascii="Times New Roman" w:hAnsi="Times New Roman" w:cs="Times New Roman"/>
          <w:sz w:val="24"/>
          <w:szCs w:val="24"/>
        </w:rPr>
      </w:pPr>
      <w:r>
        <w:rPr>
          <w:rFonts w:ascii="Times New Roman" w:hAnsi="Times New Roman" w:cs="Times New Roman"/>
          <w:sz w:val="24"/>
          <w:szCs w:val="24"/>
        </w:rPr>
        <w:t xml:space="preserve">N. 2 </w:t>
      </w:r>
      <w:proofErr w:type="spellStart"/>
      <w:r>
        <w:rPr>
          <w:rFonts w:ascii="Times New Roman" w:hAnsi="Times New Roman" w:cs="Times New Roman"/>
          <w:sz w:val="24"/>
          <w:szCs w:val="24"/>
        </w:rPr>
        <w:t>Emogasanalizzatori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multiparametrici</w:t>
      </w:r>
      <w:proofErr w:type="spellEnd"/>
      <w:r>
        <w:rPr>
          <w:rFonts w:ascii="Times New Roman" w:hAnsi="Times New Roman" w:cs="Times New Roman"/>
          <w:sz w:val="24"/>
          <w:szCs w:val="24"/>
        </w:rPr>
        <w:t xml:space="preserve"> in grado di eseguire analisi “salvavita” nel monitoraggio di “pazienti critici”. Il sistema deve essere modulare ed in grado di adattarsi alle esigenze del reparto richiedente, la U.O. di Emodialisi, quindi nella possibilità </w:t>
      </w:r>
      <w:r w:rsidR="0019382C">
        <w:rPr>
          <w:rFonts w:ascii="Times New Roman" w:hAnsi="Times New Roman" w:cs="Times New Roman"/>
          <w:sz w:val="24"/>
          <w:szCs w:val="24"/>
        </w:rPr>
        <w:t xml:space="preserve">di optare oltre che </w:t>
      </w:r>
      <w:r w:rsidR="002519C4">
        <w:rPr>
          <w:rFonts w:ascii="Times New Roman" w:hAnsi="Times New Roman" w:cs="Times New Roman"/>
          <w:sz w:val="24"/>
          <w:szCs w:val="24"/>
        </w:rPr>
        <w:t xml:space="preserve">per il controllo di parametri su sangue arterioso e/o venoso, anche su liquido di dialisi o liquido pleurico per il dosaggio della concentrazione ionica e della </w:t>
      </w:r>
      <w:proofErr w:type="spellStart"/>
      <w:r w:rsidR="002519C4">
        <w:rPr>
          <w:rFonts w:ascii="Times New Roman" w:hAnsi="Times New Roman" w:cs="Times New Roman"/>
          <w:sz w:val="24"/>
          <w:szCs w:val="24"/>
        </w:rPr>
        <w:t>osmololità</w:t>
      </w:r>
      <w:proofErr w:type="spellEnd"/>
      <w:r w:rsidR="002519C4">
        <w:rPr>
          <w:rFonts w:ascii="Times New Roman" w:hAnsi="Times New Roman" w:cs="Times New Roman"/>
          <w:sz w:val="24"/>
          <w:szCs w:val="24"/>
        </w:rPr>
        <w:t xml:space="preserve">. Le tecniche di analisi innovative e miniaturizzate devono garantire accuratezza </w:t>
      </w:r>
      <w:r w:rsidR="00B75B59">
        <w:rPr>
          <w:rFonts w:ascii="Times New Roman" w:hAnsi="Times New Roman" w:cs="Times New Roman"/>
          <w:sz w:val="24"/>
          <w:szCs w:val="24"/>
        </w:rPr>
        <w:t xml:space="preserve">di risultati e controlli di qualità on </w:t>
      </w:r>
      <w:proofErr w:type="spellStart"/>
      <w:r w:rsidR="00B75B59">
        <w:rPr>
          <w:rFonts w:ascii="Times New Roman" w:hAnsi="Times New Roman" w:cs="Times New Roman"/>
          <w:sz w:val="24"/>
          <w:szCs w:val="24"/>
        </w:rPr>
        <w:t>board</w:t>
      </w:r>
      <w:proofErr w:type="spellEnd"/>
      <w:r w:rsidR="00B75B59">
        <w:rPr>
          <w:rFonts w:ascii="Times New Roman" w:hAnsi="Times New Roman" w:cs="Times New Roman"/>
          <w:sz w:val="24"/>
          <w:szCs w:val="24"/>
        </w:rPr>
        <w:t>.</w:t>
      </w:r>
      <w:r w:rsidR="008E4FB5">
        <w:rPr>
          <w:rFonts w:ascii="Times New Roman" w:hAnsi="Times New Roman" w:cs="Times New Roman"/>
          <w:sz w:val="24"/>
          <w:szCs w:val="24"/>
        </w:rPr>
        <w:t xml:space="preserve"> Essendo previsto un utilizzo </w:t>
      </w:r>
      <w:proofErr w:type="spellStart"/>
      <w:r w:rsidR="008E4FB5">
        <w:rPr>
          <w:rFonts w:ascii="Times New Roman" w:hAnsi="Times New Roman" w:cs="Times New Roman"/>
          <w:sz w:val="24"/>
          <w:szCs w:val="24"/>
        </w:rPr>
        <w:t>multiparametrico</w:t>
      </w:r>
      <w:proofErr w:type="spellEnd"/>
      <w:r w:rsidR="008E4FB5">
        <w:rPr>
          <w:rFonts w:ascii="Times New Roman" w:hAnsi="Times New Roman" w:cs="Times New Roman"/>
          <w:sz w:val="24"/>
          <w:szCs w:val="24"/>
        </w:rPr>
        <w:t xml:space="preserve"> si ha la necessità di avere più parametri, fino ad un massimo di 30 a secondo la configurazione, </w:t>
      </w:r>
      <w:r w:rsidR="005360A2">
        <w:rPr>
          <w:rFonts w:ascii="Times New Roman" w:hAnsi="Times New Roman" w:cs="Times New Roman"/>
          <w:sz w:val="24"/>
          <w:szCs w:val="24"/>
        </w:rPr>
        <w:t>ed in un tempo breve di solito inferiore a 5m’ al fine di ottenere i dati quasi in tempo reale su paziente critico. La quantità di sangue deve essere molto piccola, di solito inferiore ai 150 microlitro per la misurazione di tutti i parametri e l’apparecchiatura facilmente resettabile e pronta al nuovo uso se richiesto o entrare in stand-by se non più necessario. Deve essere in grado di gestire sia l’acquisizione dati che la memoria degli stessi con possib</w:t>
      </w:r>
      <w:r w:rsidR="004A0752">
        <w:rPr>
          <w:rFonts w:ascii="Times New Roman" w:hAnsi="Times New Roman" w:cs="Times New Roman"/>
          <w:sz w:val="24"/>
          <w:szCs w:val="24"/>
        </w:rPr>
        <w:t>ilità di recupero dati paziente attraverso accesso</w:t>
      </w:r>
      <w:r w:rsidR="003D24C4">
        <w:rPr>
          <w:rFonts w:ascii="Times New Roman" w:hAnsi="Times New Roman" w:cs="Times New Roman"/>
          <w:sz w:val="24"/>
          <w:szCs w:val="24"/>
        </w:rPr>
        <w:t xml:space="preserve"> protetto per dati sensibili (password operatore-reparto). L’apparecchio, dotato di carrello ed alimentatore, in grado di essere spostato al letto paziente od in altra zona (sala operatoria di reparto) e predisposto per la connettività in rete </w:t>
      </w:r>
      <w:r w:rsidR="00267CE7">
        <w:rPr>
          <w:rFonts w:ascii="Times New Roman" w:hAnsi="Times New Roman" w:cs="Times New Roman"/>
          <w:sz w:val="24"/>
          <w:szCs w:val="24"/>
        </w:rPr>
        <w:t xml:space="preserve">secondo standard POCT1-A2 ed i protocolli ASTM. </w:t>
      </w:r>
      <w:r w:rsidR="00641223">
        <w:rPr>
          <w:rFonts w:ascii="Times New Roman" w:hAnsi="Times New Roman" w:cs="Times New Roman"/>
          <w:sz w:val="24"/>
          <w:szCs w:val="24"/>
        </w:rPr>
        <w:t xml:space="preserve">La configurazione considerate le esigenze del reparto prevede un menù personalizzato che comprende oltre ai parametri di solito misurati/calcolati (pH, PCO2, PO2, SO2%, Na+ K+C++ Mg++ Cl- Glucosio, Lattato, </w:t>
      </w:r>
      <w:proofErr w:type="spellStart"/>
      <w:r w:rsidR="00641223">
        <w:rPr>
          <w:rFonts w:ascii="Times New Roman" w:hAnsi="Times New Roman" w:cs="Times New Roman"/>
          <w:sz w:val="24"/>
          <w:szCs w:val="24"/>
        </w:rPr>
        <w:t>Hb</w:t>
      </w:r>
      <w:proofErr w:type="spellEnd"/>
      <w:r w:rsidR="00641223">
        <w:rPr>
          <w:rFonts w:ascii="Times New Roman" w:hAnsi="Times New Roman" w:cs="Times New Roman"/>
          <w:sz w:val="24"/>
          <w:szCs w:val="24"/>
        </w:rPr>
        <w:t xml:space="preserve">, </w:t>
      </w:r>
      <w:proofErr w:type="spellStart"/>
      <w:r w:rsidR="00641223">
        <w:rPr>
          <w:rFonts w:ascii="Times New Roman" w:hAnsi="Times New Roman" w:cs="Times New Roman"/>
          <w:sz w:val="24"/>
          <w:szCs w:val="24"/>
        </w:rPr>
        <w:t>HcT</w:t>
      </w:r>
      <w:proofErr w:type="spellEnd"/>
      <w:r w:rsidR="00641223">
        <w:rPr>
          <w:rFonts w:ascii="Times New Roman" w:hAnsi="Times New Roman" w:cs="Times New Roman"/>
          <w:sz w:val="24"/>
          <w:szCs w:val="24"/>
        </w:rPr>
        <w:t xml:space="preserve">) anche il dosaggio di BUN/UREA e/o Creatinina che è il profilo analitico del paziente in emodialisi sia prima che dopo il trattamento. Le operazioni devono essere semplici, visibili su monitor ed in sicurezza per assenza assoluta di contatto sangue degli </w:t>
      </w:r>
      <w:proofErr w:type="spellStart"/>
      <w:r w:rsidR="00641223">
        <w:rPr>
          <w:rFonts w:ascii="Times New Roman" w:hAnsi="Times New Roman" w:cs="Times New Roman"/>
          <w:sz w:val="24"/>
          <w:szCs w:val="24"/>
        </w:rPr>
        <w:t>iperatori</w:t>
      </w:r>
      <w:proofErr w:type="spellEnd"/>
      <w:r w:rsidR="00641223">
        <w:rPr>
          <w:rFonts w:ascii="Times New Roman" w:hAnsi="Times New Roman" w:cs="Times New Roman"/>
          <w:sz w:val="24"/>
          <w:szCs w:val="24"/>
        </w:rPr>
        <w:t xml:space="preserve"> sanitari. Il numero fisso di esami previsto per il Centro di </w:t>
      </w:r>
      <w:proofErr w:type="spellStart"/>
      <w:r w:rsidR="00641223">
        <w:rPr>
          <w:rFonts w:ascii="Times New Roman" w:hAnsi="Times New Roman" w:cs="Times New Roman"/>
          <w:sz w:val="24"/>
          <w:szCs w:val="24"/>
        </w:rPr>
        <w:t>crotone</w:t>
      </w:r>
      <w:proofErr w:type="spellEnd"/>
      <w:r w:rsidR="00641223">
        <w:rPr>
          <w:rFonts w:ascii="Times New Roman" w:hAnsi="Times New Roman" w:cs="Times New Roman"/>
          <w:sz w:val="24"/>
          <w:szCs w:val="24"/>
        </w:rPr>
        <w:t xml:space="preserve"> è di almeno 400 esami mensili mentre per il Centro di Mesoraca è di circa 100 esami mensili. Il numero considera solo i controlli routinari obbligatori di fine settimana di trattamento dialitico per singolo paziente. La capacità delle attrezzature deve essere adeguata così come deve essere considerata la possibilità di utilizzare lo stand-by</w:t>
      </w:r>
      <w:r w:rsidR="001C7AF7">
        <w:rPr>
          <w:rFonts w:ascii="Times New Roman" w:hAnsi="Times New Roman" w:cs="Times New Roman"/>
          <w:sz w:val="24"/>
          <w:szCs w:val="24"/>
        </w:rPr>
        <w:t xml:space="preserve"> nelle fasi di non uso. Questo dato è significativo perché è l’unico che consente reale risparmio di reagenti. Sono richieste le certificazioni e conformità ISO 2012, registrazione del sis</w:t>
      </w:r>
      <w:bookmarkStart w:id="0" w:name="_GoBack"/>
      <w:bookmarkEnd w:id="0"/>
      <w:r w:rsidR="001C7AF7">
        <w:rPr>
          <w:rFonts w:ascii="Times New Roman" w:hAnsi="Times New Roman" w:cs="Times New Roman"/>
          <w:sz w:val="24"/>
          <w:szCs w:val="24"/>
        </w:rPr>
        <w:t>tema di qualità IVDD, conformità agli standard IEC 611010 e la tecnologia coperta da brevetti.</w:t>
      </w:r>
    </w:p>
    <w:p w:rsidR="00492A5C" w:rsidRDefault="00492A5C" w:rsidP="002D0FC6">
      <w:pPr>
        <w:spacing w:after="0" w:line="360" w:lineRule="auto"/>
        <w:rPr>
          <w:rFonts w:ascii="Times New Roman" w:hAnsi="Times New Roman" w:cs="Times New Roman"/>
          <w:sz w:val="24"/>
          <w:szCs w:val="24"/>
        </w:rPr>
      </w:pPr>
    </w:p>
    <w:p w:rsidR="001D1BDA" w:rsidRDefault="001D1BDA" w:rsidP="002D0FC6">
      <w:pPr>
        <w:spacing w:after="0" w:line="360" w:lineRule="auto"/>
        <w:rPr>
          <w:rFonts w:ascii="Times New Roman" w:hAnsi="Times New Roman" w:cs="Times New Roman"/>
          <w:sz w:val="24"/>
          <w:szCs w:val="24"/>
        </w:rPr>
      </w:pPr>
    </w:p>
    <w:p w:rsidR="001D1BDA" w:rsidRDefault="001D1BDA" w:rsidP="002D0FC6">
      <w:pPr>
        <w:spacing w:after="0"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Il Direttore della UOC Nefrologia e Dialisi</w:t>
      </w:r>
    </w:p>
    <w:p w:rsidR="001D1BDA" w:rsidRDefault="001D1BDA" w:rsidP="002D0FC6">
      <w:pPr>
        <w:spacing w:after="0"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Del Presidio Ospedaliero di Crotone</w:t>
      </w:r>
    </w:p>
    <w:p w:rsidR="001D1BDA" w:rsidRDefault="001D1BDA" w:rsidP="002D0FC6">
      <w:pPr>
        <w:spacing w:after="0"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F.to  Dott. Giuseppe  Rizzuto</w:t>
      </w:r>
    </w:p>
    <w:p w:rsidR="00492A5C" w:rsidRDefault="00492A5C" w:rsidP="002D0FC6">
      <w:pPr>
        <w:spacing w:after="0" w:line="360" w:lineRule="auto"/>
        <w:rPr>
          <w:rFonts w:ascii="Times New Roman" w:hAnsi="Times New Roman" w:cs="Times New Roman"/>
          <w:sz w:val="24"/>
          <w:szCs w:val="24"/>
        </w:rPr>
      </w:pPr>
    </w:p>
    <w:p w:rsidR="00492A5C" w:rsidRDefault="00492A5C" w:rsidP="002D0FC6">
      <w:pPr>
        <w:spacing w:after="0" w:line="360" w:lineRule="auto"/>
        <w:rPr>
          <w:rFonts w:ascii="Times New Roman" w:hAnsi="Times New Roman" w:cs="Times New Roman"/>
          <w:sz w:val="24"/>
          <w:szCs w:val="24"/>
        </w:rPr>
      </w:pPr>
    </w:p>
    <w:p w:rsidR="00492A5C" w:rsidRDefault="00492A5C" w:rsidP="002D0FC6">
      <w:pPr>
        <w:spacing w:after="0" w:line="360" w:lineRule="auto"/>
        <w:rPr>
          <w:rFonts w:ascii="Times New Roman" w:hAnsi="Times New Roman" w:cs="Times New Roman"/>
          <w:sz w:val="24"/>
          <w:szCs w:val="24"/>
        </w:rPr>
      </w:pPr>
    </w:p>
    <w:p w:rsidR="002D0FC6" w:rsidRDefault="002D0FC6" w:rsidP="00A859CA">
      <w:pPr>
        <w:spacing w:after="0"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2D0FC6" w:rsidRPr="002D0FC6" w:rsidRDefault="002D0FC6" w:rsidP="002D0FC6">
      <w:pPr>
        <w:spacing w:after="0" w:line="360" w:lineRule="auto"/>
        <w:rPr>
          <w:rFonts w:ascii="Times New Roman" w:hAnsi="Times New Roman" w:cs="Times New Roman"/>
          <w:sz w:val="24"/>
          <w:szCs w:val="24"/>
        </w:rPr>
      </w:pPr>
    </w:p>
    <w:sectPr w:rsidR="002D0FC6" w:rsidRPr="002D0FC6" w:rsidSect="008E4FB5">
      <w:pgSz w:w="11906" w:h="16838"/>
      <w:pgMar w:top="284" w:right="991"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D0355C"/>
    <w:multiLevelType w:val="hybridMultilevel"/>
    <w:tmpl w:val="E5FC7C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42EED"/>
    <w:rsid w:val="00146051"/>
    <w:rsid w:val="0019382C"/>
    <w:rsid w:val="001C7AF7"/>
    <w:rsid w:val="001D1BDA"/>
    <w:rsid w:val="002519C4"/>
    <w:rsid w:val="00267CE7"/>
    <w:rsid w:val="00273B27"/>
    <w:rsid w:val="002D0FC6"/>
    <w:rsid w:val="002E3149"/>
    <w:rsid w:val="003D24C4"/>
    <w:rsid w:val="003F1BDB"/>
    <w:rsid w:val="00492A5C"/>
    <w:rsid w:val="004A0752"/>
    <w:rsid w:val="005360A2"/>
    <w:rsid w:val="00590377"/>
    <w:rsid w:val="00641223"/>
    <w:rsid w:val="00701A25"/>
    <w:rsid w:val="007930A2"/>
    <w:rsid w:val="008059D2"/>
    <w:rsid w:val="008E4FB5"/>
    <w:rsid w:val="009C4426"/>
    <w:rsid w:val="009E521A"/>
    <w:rsid w:val="00A859CA"/>
    <w:rsid w:val="00B679D7"/>
    <w:rsid w:val="00B75B59"/>
    <w:rsid w:val="00C42EED"/>
    <w:rsid w:val="00CF5887"/>
    <w:rsid w:val="00E979B7"/>
    <w:rsid w:val="00FC54C3"/>
    <w:rsid w:val="00FF1E0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42EED"/>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C42EED"/>
    <w:rPr>
      <w:color w:val="0000FF" w:themeColor="hyperlink"/>
      <w:u w:val="single"/>
    </w:rPr>
  </w:style>
  <w:style w:type="paragraph" w:styleId="Testofumetto">
    <w:name w:val="Balloon Text"/>
    <w:basedOn w:val="Normale"/>
    <w:link w:val="TestofumettoCarattere"/>
    <w:uiPriority w:val="99"/>
    <w:semiHidden/>
    <w:unhideWhenUsed/>
    <w:rsid w:val="00C42EE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42EED"/>
    <w:rPr>
      <w:rFonts w:ascii="Tahoma" w:eastAsiaTheme="minorEastAsia" w:hAnsi="Tahoma" w:cs="Tahoma"/>
      <w:sz w:val="16"/>
      <w:szCs w:val="16"/>
      <w:lang w:eastAsia="it-IT"/>
    </w:rPr>
  </w:style>
  <w:style w:type="paragraph" w:styleId="Paragrafoelenco">
    <w:name w:val="List Paragraph"/>
    <w:basedOn w:val="Normale"/>
    <w:uiPriority w:val="34"/>
    <w:qFormat/>
    <w:rsid w:val="00C42EED"/>
    <w:pPr>
      <w:ind w:left="720"/>
      <w:contextualSpacing/>
    </w:pPr>
  </w:style>
  <w:style w:type="table" w:styleId="Grigliatabella">
    <w:name w:val="Table Grid"/>
    <w:basedOn w:val="Tabellanormale"/>
    <w:uiPriority w:val="59"/>
    <w:rsid w:val="002D0FC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42EED"/>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C42EED"/>
    <w:rPr>
      <w:color w:val="0000FF" w:themeColor="hyperlink"/>
      <w:u w:val="single"/>
    </w:rPr>
  </w:style>
  <w:style w:type="paragraph" w:styleId="Testofumetto">
    <w:name w:val="Balloon Text"/>
    <w:basedOn w:val="Normale"/>
    <w:link w:val="TestofumettoCarattere"/>
    <w:uiPriority w:val="99"/>
    <w:semiHidden/>
    <w:unhideWhenUsed/>
    <w:rsid w:val="00C42EE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42EED"/>
    <w:rPr>
      <w:rFonts w:ascii="Tahoma" w:eastAsiaTheme="minorEastAsia" w:hAnsi="Tahoma" w:cs="Tahoma"/>
      <w:sz w:val="16"/>
      <w:szCs w:val="16"/>
      <w:lang w:eastAsia="it-IT"/>
    </w:rPr>
  </w:style>
  <w:style w:type="paragraph" w:styleId="Paragrafoelenco">
    <w:name w:val="List Paragraph"/>
    <w:basedOn w:val="Normale"/>
    <w:uiPriority w:val="34"/>
    <w:qFormat/>
    <w:rsid w:val="00C42EED"/>
    <w:pPr>
      <w:ind w:left="720"/>
      <w:contextualSpacing/>
    </w:pPr>
  </w:style>
  <w:style w:type="table" w:styleId="Grigliatabella">
    <w:name w:val="Table Grid"/>
    <w:basedOn w:val="Tabellanormale"/>
    <w:uiPriority w:val="59"/>
    <w:rsid w:val="002D0FC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94641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2</Pages>
  <Words>430</Words>
  <Characters>2452</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000297</dc:creator>
  <cp:lastModifiedBy>000297</cp:lastModifiedBy>
  <cp:revision>21</cp:revision>
  <dcterms:created xsi:type="dcterms:W3CDTF">2018-05-17T07:10:00Z</dcterms:created>
  <dcterms:modified xsi:type="dcterms:W3CDTF">2018-05-21T10:54:00Z</dcterms:modified>
</cp:coreProperties>
</file>